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5A4EE3" w:rsidP="00D0569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394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5A4EE3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hành phố Hồ Chí Minh, ngày</w:t>
            </w:r>
            <w:r w:rsidR="005A4EE3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19 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5A4EE3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8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687815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673B43">
        <w:rPr>
          <w:rFonts w:ascii="Times New Roman" w:hAnsi="Times New Roman"/>
          <w:i/>
          <w:sz w:val="28"/>
          <w:szCs w:val="28"/>
        </w:rPr>
        <w:t>7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B42F2B">
        <w:rPr>
          <w:rFonts w:ascii="Times New Roman" w:hAnsi="Times New Roman"/>
          <w:i/>
          <w:sz w:val="28"/>
          <w:szCs w:val="28"/>
        </w:rPr>
        <w:t>I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2019 – 2020;</w:t>
      </w:r>
    </w:p>
    <w:p w:rsidR="000A5B60" w:rsidRPr="00B42F2B" w:rsidRDefault="00687815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 xml:space="preserve">Theo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3B43">
        <w:rPr>
          <w:rFonts w:ascii="Times New Roman" w:hAnsi="Times New Roman"/>
          <w:color w:val="auto"/>
          <w:sz w:val="28"/>
          <w:szCs w:val="28"/>
        </w:rPr>
        <w:t>42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673B43">
        <w:rPr>
          <w:rFonts w:ascii="Times New Roman" w:hAnsi="Times New Roman"/>
          <w:sz w:val="28"/>
          <w:szCs w:val="28"/>
        </w:rPr>
        <w:t>7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512052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201</w:t>
      </w:r>
      <w:r w:rsidR="004E06F3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5A4EE3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5A4EE3">
        <w:rPr>
          <w:rFonts w:ascii="Times New Roman" w:hAnsi="Times New Roman"/>
          <w:b/>
          <w:i/>
          <w:color w:val="auto"/>
          <w:sz w:val="20"/>
        </w:rPr>
        <w:tab/>
      </w:r>
      <w:r w:rsidRPr="005A4EE3">
        <w:rPr>
          <w:rFonts w:ascii="Times New Roman" w:hAnsi="Times New Roman"/>
          <w:b/>
          <w:color w:val="auto"/>
          <w:sz w:val="28"/>
          <w:szCs w:val="28"/>
        </w:rPr>
        <w:t>KT.HIỆU TRƯỞNG</w:t>
      </w:r>
      <w:bookmarkStart w:id="0" w:name="_GoBack"/>
      <w:bookmarkEnd w:id="0"/>
    </w:p>
    <w:p w:rsidR="001A1C17" w:rsidRPr="005A4EE3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A4EE3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5A4EE3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5A4EE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5A4EE3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5A4EE3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5A4EE3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5A4EE3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5A4EE3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5A4EE3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5A4EE3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5A4EE3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5A4EE3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  <w:r w:rsidRPr="005A4EE3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5A4EE3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5A4EE3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5A4E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A4EE3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5A4EE3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5A4EE3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5A4EE3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  <w:r w:rsidRPr="005A4EE3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5A4EE3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5A4E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A4EE3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5A4E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A4EE3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5A4EE3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5A4EE3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5A4EE3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  <w:r w:rsidRPr="005A4EE3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5A4EE3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5A4EE3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  <w:r w:rsidRPr="005A4EE3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5A4EE3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</w:p>
    <w:sectPr w:rsidR="005A3B4C" w:rsidRPr="005A4EE3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D0"/>
    <w:rsid w:val="004E7EC3"/>
    <w:rsid w:val="004F2432"/>
    <w:rsid w:val="004F751B"/>
    <w:rsid w:val="00512052"/>
    <w:rsid w:val="005200C6"/>
    <w:rsid w:val="005245CA"/>
    <w:rsid w:val="00530991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A4EE3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3B43"/>
    <w:rsid w:val="00675143"/>
    <w:rsid w:val="00680495"/>
    <w:rsid w:val="00687815"/>
    <w:rsid w:val="006915F6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3D16-2D54-491B-88AF-74492153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63</cp:revision>
  <cp:lastPrinted>2020-08-17T06:08:00Z</cp:lastPrinted>
  <dcterms:created xsi:type="dcterms:W3CDTF">2018-11-21T10:03:00Z</dcterms:created>
  <dcterms:modified xsi:type="dcterms:W3CDTF">2020-08-20T04:20:00Z</dcterms:modified>
</cp:coreProperties>
</file>